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053"/>
        <w:gridCol w:w="4754"/>
      </w:tblGrid>
      <w:tr>
        <w:tblPrEx/>
        <w:trPr>
          <w:trHeight w:val="3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4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4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УТВЕРЖДЕН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постановлением администрации 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муниципального образования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Ленинградский муниципальный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округ Краснодарского края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 ________________ № ______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</w:t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работ и расходов на выполнение мероприятий по реализации </w:t>
      </w:r>
      <w:r>
        <w:rPr>
          <w:rFonts w:ascii="Times New Roman" w:hAnsi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муниципальной программы на очередной финансовый год</w:t>
      </w:r>
      <w:r>
        <w:rPr>
          <w:rFonts w:ascii="Times New Roman" w:hAnsi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6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62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дороги по ул.Светлой в ст. Ленинградской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дороги в п. Изобильный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7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41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pStyle w:val="651"/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19264,0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5182,0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устройство тротуара от ул. Красной до ул. Колхозной), ул. Колхозной (устройство тротуара от ул. Комсомольской до ул. Ленина), ул. Театральной (устройство тротуара от ул. Урожайной до ул. Юбилейной) в ст-це Крыловской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14669,0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1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устройство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- по ул. Западной в п. Бичевом;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- по ул. Северной в х. Белом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5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по обустройству тротуара по ул. Насыпной в ст. Ленинградской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595,0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13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56341,0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42259,0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7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90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16000,00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66054,50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8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15020,10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4520,0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4520,0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6030,0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6030,0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710,0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710,0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9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6100,0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768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3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Ind w:w="193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8"/>
        <w:gridCol w:w="7102"/>
        <w:gridCol w:w="1590"/>
        <w:gridCol w:w="1423"/>
        <w:gridCol w:w="1440"/>
        <w:gridCol w:w="1350"/>
        <w:gridCol w:w="1264"/>
      </w:tblGrid>
      <w:tr>
        <w:tblPrEx/>
        <w:trPr>
          <w:trHeight w:val="287"/>
        </w:trPr>
        <w:tc>
          <w:tcPr>
            <w:gridSpan w:val="7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80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</w:rPr>
              <w:t xml:space="preserve">30 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</w:rPr>
            </w:r>
            <w:r>
              <w:rPr>
                <w:rFonts w:ascii="Times New Roman" w:hAnsi="Times New Roman" w:cs="Times New Roman"/>
                <w:b/>
                <w:spacing w:val="-5"/>
                <w:sz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Наименование мероприятий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5"/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67" w:type="dxa"/>
            <w:textDirection w:val="lrTb"/>
            <w:noWrap w:val="false"/>
          </w:tcPr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финансирования,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тыс.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709"/>
              <w:jc w:val="center"/>
              <w:widowControl/>
              <w:rPr>
                <w:rFonts w:ascii="Times New Roman" w:hAnsi="Times New Roman" w:cs="Times New Roman"/>
                <w:spacing w:val="-6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</w:r>
            <w:r>
              <w:rPr>
                <w:rFonts w:ascii="Times New Roman" w:hAnsi="Times New Roman" w:cs="Times New Roman"/>
                <w:spacing w:val="-6"/>
                <w:sz w:val="24"/>
              </w:rPr>
            </w:r>
          </w:p>
        </w:tc>
      </w:tr>
      <w:tr>
        <w:tblPrEx/>
        <w:trPr>
          <w:trHeight w:val="54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Общий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объем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2"/>
                <w:sz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Федеральный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Краевой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5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Ремонт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автомобильных</w:t>
            </w:r>
            <w:r>
              <w:rPr>
                <w:rFonts w:ascii="Times New Roman" w:hAnsi="Times New Roman" w:eastAsia="Times New Roman" w:cs="Times New Roman"/>
                <w:b w:val="0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дорог: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pacing w:val="-2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ямочный ремонт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10983,8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10983,8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аренда грейдера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4650,0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Нанесение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дорожной</w:t>
            </w:r>
            <w:r>
              <w:rPr>
                <w:rFonts w:ascii="Times New Roman" w:hAnsi="Times New Roman" w:eastAsia="Times New Roman" w:cs="Times New Roman"/>
                <w:b w:val="0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разметки</w:t>
            </w:r>
            <w:r>
              <w:rPr>
                <w:rFonts w:ascii="Times New Roman" w:hAnsi="Times New Roman" w:eastAsia="Times New Roman" w:cs="Times New Roman"/>
                <w:b w:val="0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pacing w:val="-8"/>
                <w:sz w:val="24"/>
              </w:rPr>
              <w:t xml:space="preserve">на </w:t>
            </w:r>
            <w:r>
              <w:rPr>
                <w:rFonts w:ascii="Times New Roman" w:hAnsi="Times New Roman" w:eastAsia="Times New Roman" w:cs="Times New Roman"/>
                <w:b w:val="0"/>
                <w:spacing w:val="-2"/>
                <w:sz w:val="24"/>
              </w:rPr>
              <w:t xml:space="preserve">автомобильных дорогах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горизонтальной разметки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6150,0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вертикальной разметки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36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Строительство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ремонт (модернизация)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уличного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Выполнение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работ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технологическому подключению уличного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</w:rPr>
              <w:t xml:space="preserve">освещения к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822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 светильников, 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57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документации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Приобретение,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39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2" w:type="dxa"/>
            <w:textDirection w:val="lrTb"/>
            <w:noWrap w:val="false"/>
          </w:tcPr>
          <w:p>
            <w:pPr>
              <w:ind w:firstLine="0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9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333235,0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0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319153,0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2B2B2B" w:sz="6" w:space="0"/>
              <w:left w:val="single" w:color="2B2B2B" w:sz="6" w:space="0"/>
              <w:bottom w:val="single" w:color="2B2B2B" w:sz="6" w:space="0"/>
              <w:right w:val="single" w:color="2B2B2B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64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Заместитель главы Ленинградского</w:t>
      </w:r>
      <w:r>
        <w:rPr>
          <w:rFonts w:ascii="Times New Roman" w:hAnsi="Times New Roman" w:cs="Times New Roman"/>
          <w:b w:val="0"/>
          <w:sz w:val="28"/>
        </w:rPr>
      </w:r>
    </w:p>
    <w:p>
      <w:pPr>
        <w:pStyle w:val="65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eastAsia="Times New Roman" w:cs="Times New Roman"/>
          <w:b w:val="0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b w:val="0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134" w:right="737" w:bottom="1134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8899" w:default="1">
    <w:name w:val="No List"/>
    <w:uiPriority w:val="99"/>
    <w:semiHidden/>
    <w:unhideWhenUsed/>
  </w:style>
  <w:style w:type="table" w:styleId="8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2025-06-24T12:59:31Z</dcterms:created>
  <dcterms:modified xsi:type="dcterms:W3CDTF">2025-12-22T08:57:23Z</dcterms:modified>
</cp:coreProperties>
</file>